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"BCDR Plan"</w:t>
            </w:r>
          </w:p>
        </w:tc>
        <w:tc>
          <w:tcPr/>
          <w:p w:rsidR="00000000" w:rsidDel="00000000" w:rsidP="00000000" w:rsidRDefault="00000000" w:rsidRPr="00000000" w14:paraId="0000000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"Business Continuity Plan"</w:t>
            </w:r>
          </w:p>
        </w:tc>
        <w:tc>
          <w:tcPr/>
          <w:p w:rsidR="00000000" w:rsidDel="00000000" w:rsidP="00000000" w:rsidRDefault="00000000" w:rsidRPr="00000000" w14:paraId="00000008">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0A">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0C">
            <w:pPr>
              <w:numPr>
                <w:ilvl w:val="0"/>
                <w:numId w:val="7"/>
              </w:num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0E">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2.3.3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10">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rHeight w:val="567"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12">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14">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1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this Schedule;</w:t>
            </w:r>
          </w:p>
        </w:tc>
      </w:tr>
    </w:tbl>
    <w:p w:rsidR="00000000" w:rsidDel="00000000" w:rsidP="00000000" w:rsidRDefault="00000000" w:rsidRPr="00000000" w14:paraId="00000017">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1C">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three sections:</w:t>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1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1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w:t>
      </w:r>
    </w:p>
    <w:p w:rsidR="00000000" w:rsidDel="00000000" w:rsidP="00000000" w:rsidRDefault="00000000" w:rsidRPr="00000000" w14:paraId="00000020">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3">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8"/>
      <w:bookmarkEnd w:id="8"/>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4">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9">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A">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2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2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2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3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9"/>
      <w:bookmarkEnd w:id="9"/>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3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0"/>
      <w:bookmarkEnd w:id="10"/>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4">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1"/>
      <w:bookmarkEnd w:id="11"/>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4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4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4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4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4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4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4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4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3">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2"/>
      <w:bookmarkEnd w:id="12"/>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3"/>
      <w:bookmarkEnd w:id="13"/>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4"/>
      <w:bookmarkEnd w:id="14"/>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5"/>
      <w:bookmarkEnd w:id="15"/>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6"/>
      <w:bookmarkEnd w:id="16"/>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7"/>
      <w:bookmarkEnd w:id="17"/>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5A">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18"/>
      <w:bookmarkEnd w:id="18"/>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color w:val="000000"/>
          <w:sz w:val="24"/>
          <w:szCs w:val="24"/>
        </w:rPr>
      </w:pPr>
      <w:bookmarkStart w:colFirst="0" w:colLast="0" w:name="_heading=h.z337ya" w:id="19"/>
      <w:bookmarkEnd w:id="19"/>
      <w:r w:rsidDel="00000000" w:rsidR="00000000" w:rsidRPr="00000000">
        <w:rPr>
          <w:b w:val="1"/>
          <w:color w:val="000000"/>
          <w:sz w:val="24"/>
          <w:szCs w:val="24"/>
          <w:rtl w:val="0"/>
        </w:rPr>
        <w:t xml:space="preserve">Testing the BCDR Plan</w:t>
      </w:r>
    </w:p>
    <w:p w:rsidR="00000000" w:rsidDel="00000000" w:rsidP="00000000" w:rsidRDefault="00000000" w:rsidRPr="00000000" w14:paraId="0000005D">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0"/>
      <w:bookmarkEnd w:id="20"/>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5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5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1">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1"/>
      <w:bookmarkEnd w:id="21"/>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68">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2"/>
      <w:bookmarkEnd w:id="22"/>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bookmarkStart w:colFirst="0" w:colLast="0" w:name="_heading=h.2xcytpi" w:id="23"/>
      <w:bookmarkEnd w:id="23"/>
      <w:r w:rsidDel="00000000" w:rsidR="00000000" w:rsidRPr="00000000">
        <w:rPr>
          <w:b w:val="1"/>
          <w:color w:val="000000"/>
          <w:sz w:val="24"/>
          <w:szCs w:val="24"/>
          <w:rtl w:val="0"/>
        </w:rPr>
        <w:t xml:space="preserve">Invoking the BCDR Plan</w:t>
      </w:r>
    </w:p>
    <w:p w:rsidR="00000000" w:rsidDel="00000000" w:rsidP="00000000" w:rsidRDefault="00000000" w:rsidRPr="00000000" w14:paraId="0000006A">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6C">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6D">
      <w:pPr>
        <w:keepNext w:val="1"/>
        <w:numPr>
          <w:ilvl w:val="0"/>
          <w:numId w:val="6"/>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color w:val="000000"/>
          <w:sz w:val="24"/>
          <w:szCs w:val="24"/>
        </w:rPr>
      </w:pPr>
      <w:r w:rsidDel="00000000" w:rsidR="00000000" w:rsidRPr="00000000">
        <w:rPr>
          <w:b w:val="1"/>
          <w:color w:val="000000"/>
          <w:sz w:val="24"/>
          <w:szCs w:val="24"/>
          <w:rtl w:val="0"/>
        </w:rPr>
        <w:t xml:space="preserve">Optional Clauses</w:t>
      </w:r>
    </w:p>
    <w:p w:rsidR="00000000" w:rsidDel="00000000" w:rsidP="00000000" w:rsidRDefault="00000000" w:rsidRPr="00000000" w14:paraId="0000006E">
      <w:pPr>
        <w:numPr>
          <w:ilvl w:val="1"/>
          <w:numId w:val="6"/>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Gold Contract, if specified in the Order Form, the terms at Annex 1 shall apply to the Call-Off Contract in addition to this Call-Off Schedule 8. </w:t>
      </w:r>
    </w:p>
    <w:p w:rsidR="00000000" w:rsidDel="00000000" w:rsidP="00000000" w:rsidRDefault="00000000" w:rsidRPr="00000000" w14:paraId="0000006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32"/>
          <w:szCs w:val="32"/>
          <w:rtl w:val="0"/>
        </w:rPr>
        <w:t xml:space="preserve">Annex 1: Optional Provisions for Gold Contracts</w:t>
      </w:r>
      <w:r w:rsidDel="00000000" w:rsidR="00000000" w:rsidRPr="00000000">
        <w:rPr>
          <w:rtl w:val="0"/>
        </w:rPr>
      </w:r>
    </w:p>
    <w:p w:rsidR="00000000" w:rsidDel="00000000" w:rsidP="00000000" w:rsidRDefault="00000000" w:rsidRPr="00000000" w14:paraId="0000007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smallCaps w:val="1"/>
          <w:color w:val="000000"/>
          <w:sz w:val="24"/>
          <w:szCs w:val="24"/>
          <w:rtl w:val="0"/>
        </w:rPr>
        <w:t xml:space="preserve">Definitions</w:t>
      </w:r>
    </w:p>
    <w:p w:rsidR="00000000" w:rsidDel="00000000" w:rsidP="00000000" w:rsidRDefault="00000000" w:rsidRPr="00000000" w14:paraId="00000072">
      <w:pPr>
        <w:keepNext w:val="1"/>
        <w:numPr>
          <w:ilvl w:val="1"/>
          <w:numId w:val="4"/>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Annex 1, the following words shall have the following meanings and they shall supplement Joint Schedule 1 (Definitions) and Paragraph 1.1 of Call-Off Schedule 8:</w:t>
      </w:r>
    </w:p>
    <w:tbl>
      <w:tblPr>
        <w:tblStyle w:val="Table2"/>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75">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7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78">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7A">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7C">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bookmarkStart w:colFirst="0" w:colLast="0" w:name="_heading=h.3as4poj" w:id="27"/>
            <w:bookmarkEnd w:id="27"/>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8C">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8E">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service contract which the Buyer has categorised as a Gold Contract or which the Buyer otherwise considers should be classed as a Critical Service Contract;</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spacing w:after="240" w:lineRule="auto"/>
              <w:ind w:left="720" w:hanging="720"/>
              <w:rPr>
                <w:rFonts w:ascii="Arial" w:cs="Arial" w:eastAsia="Arial" w:hAnsi="Arial"/>
              </w:rPr>
            </w:pPr>
            <w:r w:rsidDel="00000000" w:rsidR="00000000" w:rsidRPr="00000000">
              <w:rPr>
                <w:rFonts w:ascii="Arial" w:cs="Arial" w:eastAsia="Arial" w:hAnsi="Arial"/>
                <w:color w:val="000000"/>
                <w:sz w:val="22"/>
                <w:szCs w:val="22"/>
                <w:rtl w:val="0"/>
              </w:rPr>
              <w:t xml:space="preserve">Group Structure Information and Resolution Commentary; and</w:t>
            </w:r>
            <w:r w:rsidDel="00000000" w:rsidR="00000000" w:rsidRPr="00000000">
              <w:rPr>
                <w:rtl w:val="0"/>
              </w:rPr>
            </w:r>
          </w:p>
          <w:p w:rsidR="00000000" w:rsidDel="00000000" w:rsidP="00000000" w:rsidRDefault="00000000" w:rsidRPr="00000000" w14:paraId="00000092">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94">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Structure Information and Resolution Commentary”</w:t>
            </w:r>
          </w:p>
        </w:tc>
        <w:tc>
          <w:tcPr/>
          <w:p w:rsidR="00000000" w:rsidDel="00000000" w:rsidP="00000000" w:rsidRDefault="00000000" w:rsidRPr="00000000" w14:paraId="00000096">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1pxezwc" w:id="28"/>
            <w:bookmarkEnd w:id="28"/>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Appendix 1 to Part B of Annex 1;</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98">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9A">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bookmarkStart w:colFirst="0" w:colLast="0" w:name="_heading=h.49x2ik5" w:id="29"/>
            <w:bookmarkEnd w:id="29"/>
            <w:r w:rsidDel="00000000" w:rsidR="00000000" w:rsidRPr="00000000">
              <w:rPr>
                <w:rFonts w:ascii="Arial" w:cs="Arial" w:eastAsia="Arial" w:hAnsi="Arial"/>
                <w:b w:val="1"/>
                <w:sz w:val="24"/>
                <w:szCs w:val="24"/>
                <w:rtl w:val="0"/>
              </w:rPr>
              <w:t xml:space="preserve">“Relevant Authority” or “Relevant Authorities”</w:t>
            </w:r>
          </w:p>
        </w:tc>
        <w:tc>
          <w:tcPr/>
          <w:p w:rsidR="00000000" w:rsidDel="00000000" w:rsidP="00000000" w:rsidRDefault="00000000" w:rsidRPr="00000000" w14:paraId="0000009C">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rHeight w:val="567" w:hRule="atLeast"/>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9E">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A0">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A2">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147n2zr" w:id="31"/>
            <w:bookmarkEnd w:id="31"/>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trPr>
          <w:cantSplit w:val="0"/>
          <w:trHeight w:val="567" w:hRule="atLeast"/>
          <w:tblHeader w:val="0"/>
        </w:trP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A4">
            <w:pPr>
              <w:numPr>
                <w:ilvl w:val="0"/>
                <w:numId w:val="7"/>
              </w:numPr>
              <w:pBdr>
                <w:top w:space="0" w:sz="0" w:val="nil"/>
                <w:left w:space="0" w:sz="0" w:val="nil"/>
                <w:bottom w:space="0" w:sz="0" w:val="nil"/>
                <w:right w:space="0" w:sz="0" w:val="nil"/>
                <w:between w:space="0" w:sz="0" w:val="nil"/>
              </w:pBdr>
              <w:tabs>
                <w:tab w:val="left" w:leader="none" w:pos="-9"/>
              </w:tabs>
              <w:spacing w:after="120" w:lineRule="auto"/>
              <w:ind w:left="170" w:hanging="170"/>
              <w:jc w:val="left"/>
              <w:rPr>
                <w:rFonts w:ascii="Arial" w:cs="Arial" w:eastAsia="Arial" w:hAnsi="Arial"/>
                <w:sz w:val="24"/>
                <w:szCs w:val="24"/>
              </w:rPr>
            </w:pPr>
            <w:bookmarkStart w:colFirst="0" w:colLast="0" w:name="_heading=h.3o7alnk" w:id="32"/>
            <w:bookmarkEnd w:id="32"/>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Appendix 2 of Part B of Annex 1;</w:t>
            </w:r>
          </w:p>
        </w:tc>
      </w:tr>
    </w:tbl>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Insolvency Continuity Plan</w:t>
      </w:r>
    </w:p>
    <w:p w:rsidR="00000000" w:rsidDel="00000000" w:rsidP="00000000" w:rsidRDefault="00000000" w:rsidRPr="00000000" w14:paraId="000000A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b w:val="1"/>
          <w:color w:val="000000"/>
          <w:sz w:val="24"/>
          <w:szCs w:val="24"/>
          <w:rtl w:val="0"/>
        </w:rPr>
        <w:t xml:space="preserve">Service Continuity Plan: Section 4 – Insolvency Continuity Plan</w:t>
      </w:r>
      <w:r w:rsidDel="00000000" w:rsidR="00000000" w:rsidRPr="00000000">
        <w:rPr>
          <w:rtl w:val="0"/>
        </w:rPr>
      </w:r>
    </w:p>
    <w:p w:rsidR="00000000" w:rsidDel="00000000" w:rsidP="00000000" w:rsidRDefault="00000000" w:rsidRPr="00000000" w14:paraId="000000A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In addition to the sections detailed in Paragraph 2.3 of Call-Off Schedule 8, the BCDR plan shall have a 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A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A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A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A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B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sz w:val="24"/>
          <w:szCs w:val="24"/>
          <w:rtl w:val="0"/>
        </w:rPr>
        <w:t xml:space="preserve">In addition to the provisions of Paragraph 3.1.1 of Call-Off Schedule 8, </w:t>
      </w:r>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B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B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B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Service Suppliers in each case as notified to the Supplier by the Buyer from time to time.</w:t>
      </w:r>
    </w:p>
    <w:p w:rsidR="00000000" w:rsidDel="00000000" w:rsidP="00000000" w:rsidRDefault="00000000" w:rsidRPr="00000000" w14:paraId="000000B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Insolvency Continuity Plan element of the BCDR Plan, including any linked elements in other parts of the BCDR Plan, shall be invoked by the Supplier:</w:t>
      </w:r>
    </w:p>
    <w:p w:rsidR="00000000" w:rsidDel="00000000" w:rsidP="00000000" w:rsidRDefault="00000000" w:rsidRPr="00000000" w14:paraId="000000B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7">
      <w:pPr>
        <w:ind w:firstLine="1418"/>
        <w:rPr/>
      </w:pPr>
      <w:bookmarkStart w:colFirst="0" w:colLast="0" w:name="_heading=h.ihv636" w:id="33"/>
      <w:bookmarkEnd w:id="33"/>
      <w:r w:rsidDel="00000000" w:rsidR="00000000" w:rsidRPr="00000000">
        <w:br w:type="page"/>
      </w: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B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B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w:t>
      </w:r>
      <w:r w:rsidDel="00000000" w:rsidR="00000000" w:rsidRPr="00000000">
        <w:rPr>
          <w:color w:val="000000"/>
          <w:sz w:val="24"/>
          <w:szCs w:val="24"/>
          <w:rtl w:val="0"/>
        </w:rPr>
        <w:t xml:space="preserve"> ‘is not’ a Critical Service Contract.</w:t>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B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3 to 5 of this Part B shall apply if the Contract has been specified as a Critical Service Contract under Paragraph 2.1 of this Part B or the Supplier is or becomes a Public Sector Dependent Supplier.</w:t>
      </w:r>
    </w:p>
    <w:p w:rsidR="00000000" w:rsidDel="00000000" w:rsidP="00000000" w:rsidRDefault="00000000" w:rsidRPr="00000000" w14:paraId="000000B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3.6, 3.10 and 3.11 of this Part B:</w:t>
      </w:r>
    </w:p>
    <w:p w:rsidR="00000000" w:rsidDel="00000000" w:rsidP="00000000" w:rsidRDefault="00000000" w:rsidRPr="00000000" w14:paraId="000000B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Relevant Authority or Relevant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C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rsidR="00000000" w:rsidDel="00000000" w:rsidP="00000000" w:rsidRDefault="00000000" w:rsidRPr="00000000" w14:paraId="000000C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3.2, 3.8 and 3.9 of this Part B:</w:t>
      </w:r>
    </w:p>
    <w:p w:rsidR="00000000" w:rsidDel="00000000" w:rsidP="00000000" w:rsidRDefault="00000000" w:rsidRPr="00000000" w14:paraId="000000C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C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C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C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Relevant Authority or Relevant Authorities to understand and consider the information for approval;</w:t>
      </w:r>
    </w:p>
    <w:p w:rsidR="00000000" w:rsidDel="00000000" w:rsidP="00000000" w:rsidRDefault="00000000" w:rsidRPr="00000000" w14:paraId="000000C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C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C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Relevant Authority or Relevant Authorities rejects the CRP Information:</w:t>
      </w:r>
    </w:p>
    <w:p w:rsidR="00000000" w:rsidDel="00000000" w:rsidP="00000000" w:rsidRDefault="00000000" w:rsidRPr="00000000" w14:paraId="000000C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C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3.6 of this Part B if:</w:t>
      </w:r>
    </w:p>
    <w:p w:rsidR="00000000" w:rsidDel="00000000" w:rsidP="00000000" w:rsidRDefault="00000000" w:rsidRPr="00000000" w14:paraId="000000C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D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D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3.8(c) of this Part B its initial CRP Information) to the Relevant Authority or Relevant Authorities:</w:t>
      </w:r>
    </w:p>
    <w:p w:rsidR="00000000" w:rsidDel="00000000" w:rsidP="00000000" w:rsidRDefault="00000000" w:rsidRPr="00000000" w14:paraId="000000D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rsidR="00000000" w:rsidDel="00000000" w:rsidP="00000000" w:rsidRDefault="00000000" w:rsidRPr="00000000" w14:paraId="000000D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3.10;</w:t>
      </w:r>
    </w:p>
    <w:p w:rsidR="00000000" w:rsidDel="00000000" w:rsidP="00000000" w:rsidRDefault="00000000" w:rsidRPr="00000000" w14:paraId="000000D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D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D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D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Relevant Authority (whichever is the earlier), unless:</w:t>
      </w:r>
    </w:p>
    <w:p w:rsidR="00000000" w:rsidDel="00000000" w:rsidP="00000000" w:rsidRDefault="00000000" w:rsidRPr="00000000" w14:paraId="000000D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rsidR="00000000" w:rsidDel="00000000" w:rsidP="00000000" w:rsidRDefault="00000000" w:rsidRPr="00000000" w14:paraId="000000D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3.10.</w:t>
      </w:r>
    </w:p>
    <w:p w:rsidR="00000000" w:rsidDel="00000000" w:rsidP="00000000" w:rsidRDefault="00000000" w:rsidRPr="00000000" w14:paraId="000000D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D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D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DE">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E0">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rsidR="00000000" w:rsidDel="00000000" w:rsidP="00000000" w:rsidRDefault="00000000" w:rsidRPr="00000000" w14:paraId="000000E1">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E2">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of this Part B and either:</w:t>
      </w:r>
    </w:p>
    <w:p w:rsidR="00000000" w:rsidDel="00000000" w:rsidP="00000000" w:rsidRDefault="00000000" w:rsidRPr="00000000" w14:paraId="000000E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Relevant Authority’s or Relevant Authorities’ request; or</w:t>
      </w:r>
    </w:p>
    <w:p w:rsidR="00000000" w:rsidDel="00000000" w:rsidP="00000000" w:rsidRDefault="00000000" w:rsidRPr="00000000" w14:paraId="000000E4">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Relevant Authority or Relevant Authorities within 4 months of the date that it was first required to provide the CRP Information under the Contract,</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E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E8">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4"/>
      <w:bookmarkEnd w:id="34"/>
      <w:r w:rsidDel="00000000" w:rsidR="00000000" w:rsidRPr="00000000">
        <w:rPr>
          <w:color w:val="000000"/>
          <w:sz w:val="24"/>
          <w:szCs w:val="24"/>
          <w:rtl w:val="0"/>
        </w:rPr>
        <w:t xml:space="preserve">Where the Relevant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rsidR="00000000" w:rsidDel="00000000" w:rsidP="00000000" w:rsidRDefault="00000000" w:rsidRPr="00000000" w14:paraId="000000EA">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5.3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E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E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E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E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F3">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F4">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0F5">
      <w:pPr>
        <w:numPr>
          <w:ilvl w:val="0"/>
          <w:numId w:val="3"/>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F6">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0F7">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F8">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0F9">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FA">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0FB">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FC">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FD">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0FE">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0FF">
      <w:pPr>
        <w:numPr>
          <w:ilvl w:val="2"/>
          <w:numId w:val="3"/>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00">
      <w:pPr>
        <w:numPr>
          <w:ilvl w:val="1"/>
          <w:numId w:val="3"/>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8">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RM6232</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03">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0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05">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8YcEnkIn7iKdh6SMnx1WaBlMVQ==">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2021-10-18T10:02:00Z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